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7E60" w14:textId="670548A1" w:rsidR="00643415" w:rsidRDefault="001A0714">
      <w:r>
        <w:t xml:space="preserve">                                                                                                                                                                   26.01.2025</w:t>
      </w:r>
    </w:p>
    <w:p w14:paraId="7664C87A" w14:textId="77777777" w:rsidR="001A0714" w:rsidRDefault="001A0714"/>
    <w:p w14:paraId="2BFD58C6" w14:textId="078A1F3B" w:rsidR="001A0714" w:rsidRDefault="001A0714">
      <w:pPr>
        <w:rPr>
          <w:b/>
          <w:bCs/>
          <w:sz w:val="28"/>
          <w:szCs w:val="28"/>
        </w:rPr>
      </w:pPr>
      <w:r>
        <w:rPr>
          <w:b/>
          <w:bCs/>
          <w:sz w:val="28"/>
          <w:szCs w:val="28"/>
        </w:rPr>
        <w:t>Ideer til emneområder</w:t>
      </w:r>
    </w:p>
    <w:p w14:paraId="7FAD02A4" w14:textId="77777777" w:rsidR="00701F3E" w:rsidRDefault="001A0714">
      <w:pPr>
        <w:rPr>
          <w:sz w:val="28"/>
          <w:szCs w:val="28"/>
        </w:rPr>
      </w:pPr>
      <w:r>
        <w:rPr>
          <w:sz w:val="28"/>
          <w:szCs w:val="28"/>
        </w:rPr>
        <w:t xml:space="preserve">Herunder beskrives de emneområder som kort blev præsenteret på Klimarådets møde d. 23. januar. I får her mulighed for at danne jer et billede af hvad de 6 forslag går ud på. På den baggrund kan du vurdere, om du har lyst til at arbejde med et eller flere af emnerne i samarbejde med andre. Får du lyst til det, må du meget gerne skrive til formanden for Klimarådet på </w:t>
      </w:r>
      <w:hyperlink r:id="rId5" w:history="1">
        <w:r w:rsidRPr="009E7717">
          <w:rPr>
            <w:rStyle w:val="Hyperlink"/>
            <w:sz w:val="28"/>
            <w:szCs w:val="28"/>
          </w:rPr>
          <w:t>anders@westenholz.com</w:t>
        </w:r>
      </w:hyperlink>
      <w:r>
        <w:rPr>
          <w:sz w:val="28"/>
          <w:szCs w:val="28"/>
        </w:rPr>
        <w:t xml:space="preserve"> . Har du spørgsmål til</w:t>
      </w:r>
      <w:r w:rsidR="00701F3E">
        <w:rPr>
          <w:sz w:val="28"/>
          <w:szCs w:val="28"/>
        </w:rPr>
        <w:t xml:space="preserve"> nogen af emnerne er du også meget velkommen til </w:t>
      </w:r>
      <w:r>
        <w:rPr>
          <w:sz w:val="28"/>
          <w:szCs w:val="28"/>
        </w:rPr>
        <w:t>at</w:t>
      </w:r>
      <w:r w:rsidR="00701F3E">
        <w:rPr>
          <w:sz w:val="28"/>
          <w:szCs w:val="28"/>
        </w:rPr>
        <w:t xml:space="preserve"> kontakte ham.</w:t>
      </w:r>
    </w:p>
    <w:p w14:paraId="0FCA52FC" w14:textId="77777777" w:rsidR="00701F3E" w:rsidRDefault="00701F3E">
      <w:pPr>
        <w:rPr>
          <w:sz w:val="28"/>
          <w:szCs w:val="28"/>
        </w:rPr>
      </w:pPr>
      <w:r>
        <w:rPr>
          <w:sz w:val="28"/>
          <w:szCs w:val="28"/>
        </w:rPr>
        <w:t>De 6 emneområder er:</w:t>
      </w:r>
    </w:p>
    <w:p w14:paraId="478EBCDE" w14:textId="1A4E001A" w:rsidR="00701F3E" w:rsidRPr="0091736E" w:rsidRDefault="00701F3E" w:rsidP="0091736E">
      <w:pPr>
        <w:pStyle w:val="Listeafsnit"/>
        <w:numPr>
          <w:ilvl w:val="0"/>
          <w:numId w:val="1"/>
        </w:numPr>
        <w:rPr>
          <w:b/>
          <w:bCs/>
          <w:sz w:val="28"/>
          <w:szCs w:val="28"/>
        </w:rPr>
      </w:pPr>
      <w:r w:rsidRPr="0091736E">
        <w:rPr>
          <w:b/>
          <w:bCs/>
          <w:sz w:val="28"/>
          <w:szCs w:val="28"/>
        </w:rPr>
        <w:t>Projekt grønt byggeri i Rudersdal</w:t>
      </w:r>
    </w:p>
    <w:p w14:paraId="43FFEAC0" w14:textId="77777777" w:rsidR="00701F3E" w:rsidRDefault="00701F3E">
      <w:pPr>
        <w:rPr>
          <w:sz w:val="28"/>
          <w:szCs w:val="28"/>
        </w:rPr>
      </w:pPr>
      <w:r>
        <w:rPr>
          <w:sz w:val="28"/>
          <w:szCs w:val="28"/>
        </w:rPr>
        <w:t>Selv om Rudersdal Kommune stort set er udbygget er her en livlig byggeaktivitet. Bygninger vedligeholdes, ombygges, udvides og nedrives og erstattes af nybyggeri.</w:t>
      </w:r>
    </w:p>
    <w:p w14:paraId="1C9C91F4" w14:textId="77777777" w:rsidR="00701F3E" w:rsidRDefault="00701F3E">
      <w:pPr>
        <w:rPr>
          <w:sz w:val="28"/>
          <w:szCs w:val="28"/>
        </w:rPr>
      </w:pPr>
      <w:r>
        <w:rPr>
          <w:sz w:val="28"/>
          <w:szCs w:val="28"/>
        </w:rPr>
        <w:t>På landsplan anslås det at næsten 30% af det samlede CO2-udslip stammer fra byggeriet. Byggeriets parter har taget denne udfordring op og har udviklet mange nye klimavenlige byggematerialer, nye håndværksmæssige løsninger, skærpede bestemmelser i bygningsreglementet, nye rådgivningsmuligheder og beregningsmodeller til både at analysere, afdække og dokumentere et byggeri.</w:t>
      </w:r>
    </w:p>
    <w:p w14:paraId="468AF1CF" w14:textId="77777777" w:rsidR="005D4FF6" w:rsidRDefault="00701F3E">
      <w:pPr>
        <w:rPr>
          <w:sz w:val="28"/>
          <w:szCs w:val="28"/>
        </w:rPr>
      </w:pPr>
      <w:r>
        <w:rPr>
          <w:sz w:val="28"/>
          <w:szCs w:val="28"/>
        </w:rPr>
        <w:t>Sammen med de lokale virksomheder, håndværkere og rådgivere</w:t>
      </w:r>
      <w:r w:rsidR="005D4FF6">
        <w:rPr>
          <w:sz w:val="28"/>
          <w:szCs w:val="28"/>
        </w:rPr>
        <w:t xml:space="preserve"> kan vi over en weekend præsentere mange af disse nye muligheder for borgerne i kommunen.</w:t>
      </w:r>
    </w:p>
    <w:p w14:paraId="2B91C146" w14:textId="67F1376C" w:rsidR="001A0714" w:rsidRDefault="005D4FF6">
      <w:pPr>
        <w:rPr>
          <w:sz w:val="28"/>
          <w:szCs w:val="28"/>
        </w:rPr>
      </w:pPr>
      <w:r>
        <w:rPr>
          <w:sz w:val="28"/>
          <w:szCs w:val="28"/>
        </w:rPr>
        <w:t>Arrangementet kan ledsages af oplæg og præsentationer af nogle centrale emner, samt lidt musik og oplæsning af digte af deltagerne om klimavenligt og ressource-besparende byggeri.</w:t>
      </w:r>
      <w:r w:rsidR="00701F3E">
        <w:rPr>
          <w:sz w:val="28"/>
          <w:szCs w:val="28"/>
        </w:rPr>
        <w:t xml:space="preserve">  </w:t>
      </w:r>
      <w:r w:rsidR="001A0714">
        <w:rPr>
          <w:sz w:val="28"/>
          <w:szCs w:val="28"/>
        </w:rPr>
        <w:t xml:space="preserve"> </w:t>
      </w:r>
    </w:p>
    <w:p w14:paraId="03BC875B" w14:textId="09BE8A59" w:rsidR="005D4FF6" w:rsidRPr="0091736E" w:rsidRDefault="005D4FF6" w:rsidP="0091736E">
      <w:pPr>
        <w:pStyle w:val="Listeafsnit"/>
        <w:numPr>
          <w:ilvl w:val="0"/>
          <w:numId w:val="1"/>
        </w:numPr>
        <w:rPr>
          <w:b/>
          <w:bCs/>
          <w:sz w:val="28"/>
          <w:szCs w:val="28"/>
        </w:rPr>
      </w:pPr>
      <w:r w:rsidRPr="0091736E">
        <w:rPr>
          <w:b/>
          <w:bCs/>
          <w:sz w:val="28"/>
          <w:szCs w:val="28"/>
        </w:rPr>
        <w:t>Sportsklubbernes fokus på deres klimaaftryk</w:t>
      </w:r>
    </w:p>
    <w:p w14:paraId="17AE2941" w14:textId="476FEF0B" w:rsidR="005D4FF6" w:rsidRDefault="00347BC6">
      <w:pPr>
        <w:rPr>
          <w:sz w:val="28"/>
          <w:szCs w:val="28"/>
        </w:rPr>
      </w:pPr>
      <w:r>
        <w:rPr>
          <w:sz w:val="28"/>
          <w:szCs w:val="28"/>
        </w:rPr>
        <w:t>R</w:t>
      </w:r>
      <w:r w:rsidR="005D4FF6">
        <w:rPr>
          <w:sz w:val="28"/>
          <w:szCs w:val="28"/>
        </w:rPr>
        <w:t>igtig mange aldersgrupper er medlemmer af forskellige sportsklubber. Ved en gennemgang af de enkelte klubbers medlemsprofil og deres ressource</w:t>
      </w:r>
      <w:r>
        <w:rPr>
          <w:sz w:val="28"/>
          <w:szCs w:val="28"/>
        </w:rPr>
        <w:t>-</w:t>
      </w:r>
      <w:r w:rsidR="005D4FF6">
        <w:rPr>
          <w:sz w:val="28"/>
          <w:szCs w:val="28"/>
        </w:rPr>
        <w:t xml:space="preserve"> og materialeforbrug kontaktes en række trænere, med henblik på at drøfte</w:t>
      </w:r>
      <w:r>
        <w:rPr>
          <w:sz w:val="28"/>
          <w:szCs w:val="28"/>
        </w:rPr>
        <w:t xml:space="preserve"> nogle relevante initiativer, hvor både deres fælles og individuelle indkøb kan nyvurderes i et klimabelastende lys. På den baggrund udarbejdes konkrete projekter for de klubber som viser interesse for et projekt.</w:t>
      </w:r>
    </w:p>
    <w:p w14:paraId="45A00E32" w14:textId="77777777" w:rsidR="009D5E34" w:rsidRDefault="009D5E34">
      <w:pPr>
        <w:rPr>
          <w:sz w:val="28"/>
          <w:szCs w:val="28"/>
        </w:rPr>
      </w:pPr>
    </w:p>
    <w:p w14:paraId="20B7D7E4" w14:textId="5811E5CC" w:rsidR="00347BC6" w:rsidRPr="0091736E" w:rsidRDefault="00347BC6" w:rsidP="0091736E">
      <w:pPr>
        <w:pStyle w:val="Listeafsnit"/>
        <w:numPr>
          <w:ilvl w:val="0"/>
          <w:numId w:val="1"/>
        </w:numPr>
        <w:rPr>
          <w:b/>
          <w:bCs/>
          <w:sz w:val="28"/>
          <w:szCs w:val="28"/>
        </w:rPr>
      </w:pPr>
      <w:r w:rsidRPr="0091736E">
        <w:rPr>
          <w:b/>
          <w:bCs/>
          <w:sz w:val="28"/>
          <w:szCs w:val="28"/>
        </w:rPr>
        <w:lastRenderedPageBreak/>
        <w:t>Fremme lokalt produceret og lagret strøm</w:t>
      </w:r>
    </w:p>
    <w:p w14:paraId="29A86087" w14:textId="4F5D66C3" w:rsidR="0091736E" w:rsidRDefault="00347BC6">
      <w:pPr>
        <w:rPr>
          <w:b/>
          <w:bCs/>
          <w:sz w:val="28"/>
          <w:szCs w:val="28"/>
        </w:rPr>
      </w:pPr>
      <w:r>
        <w:rPr>
          <w:sz w:val="28"/>
          <w:szCs w:val="28"/>
        </w:rPr>
        <w:t xml:space="preserve">Indenfor det seneste år er reglerne for opsætning af solceller på bygninger blevet lempet noget. </w:t>
      </w:r>
      <w:r w:rsidR="00363418">
        <w:rPr>
          <w:sz w:val="28"/>
          <w:szCs w:val="28"/>
        </w:rPr>
        <w:t>S</w:t>
      </w:r>
      <w:r>
        <w:rPr>
          <w:sz w:val="28"/>
          <w:szCs w:val="28"/>
        </w:rPr>
        <w:t>amtidig</w:t>
      </w:r>
      <w:r w:rsidR="00363418">
        <w:rPr>
          <w:sz w:val="28"/>
          <w:szCs w:val="28"/>
        </w:rPr>
        <w:t xml:space="preserve"> er prisen på både solceller og modulopbyggede batterier faldet kraftigt. Det bevirker at der er grund til gennem nogle arrangementer at synliggøre mulighederne for både de almene boligselskaber og privatejede boliger. Det gælder også de solcelleløsninger som kan fuldt integreres i tagfladerne, men også de nye styringssystemer som kan optimere brugen af strømmen produceret og lagret i egen bygning.</w:t>
      </w:r>
      <w:r w:rsidR="0091736E">
        <w:rPr>
          <w:b/>
          <w:bCs/>
          <w:sz w:val="28"/>
          <w:szCs w:val="28"/>
        </w:rPr>
        <w:t xml:space="preserve">  </w:t>
      </w:r>
    </w:p>
    <w:p w14:paraId="3EFA7D18" w14:textId="77777777" w:rsidR="009D5E34" w:rsidRDefault="009D5E34">
      <w:pPr>
        <w:rPr>
          <w:b/>
          <w:bCs/>
          <w:sz w:val="28"/>
          <w:szCs w:val="28"/>
        </w:rPr>
      </w:pPr>
    </w:p>
    <w:p w14:paraId="6078520A" w14:textId="0ADE576D" w:rsidR="0091736E" w:rsidRPr="009D5E34" w:rsidRDefault="009D5E34" w:rsidP="0091736E">
      <w:pPr>
        <w:pStyle w:val="Listeafsnit"/>
        <w:numPr>
          <w:ilvl w:val="0"/>
          <w:numId w:val="1"/>
        </w:numPr>
        <w:rPr>
          <w:b/>
          <w:bCs/>
          <w:sz w:val="28"/>
          <w:szCs w:val="28"/>
        </w:rPr>
      </w:pPr>
      <w:r w:rsidRPr="009D5E34">
        <w:rPr>
          <w:b/>
          <w:bCs/>
          <w:sz w:val="28"/>
          <w:szCs w:val="28"/>
        </w:rPr>
        <w:t>V</w:t>
      </w:r>
      <w:r>
        <w:rPr>
          <w:b/>
          <w:bCs/>
          <w:sz w:val="28"/>
          <w:szCs w:val="28"/>
        </w:rPr>
        <w:t>il</w:t>
      </w:r>
      <w:r w:rsidR="0091736E" w:rsidRPr="009D5E34">
        <w:rPr>
          <w:b/>
          <w:bCs/>
          <w:sz w:val="28"/>
          <w:szCs w:val="28"/>
        </w:rPr>
        <w:t xml:space="preserve"> vi understøtte de store dagli</w:t>
      </w:r>
      <w:r w:rsidRPr="009D5E34">
        <w:rPr>
          <w:b/>
          <w:bCs/>
          <w:sz w:val="28"/>
          <w:szCs w:val="28"/>
        </w:rPr>
        <w:t>g</w:t>
      </w:r>
      <w:r w:rsidR="0091736E" w:rsidRPr="009D5E34">
        <w:rPr>
          <w:b/>
          <w:bCs/>
          <w:sz w:val="28"/>
          <w:szCs w:val="28"/>
        </w:rPr>
        <w:t>varekæders</w:t>
      </w:r>
      <w:r w:rsidRPr="009D5E34">
        <w:rPr>
          <w:b/>
          <w:bCs/>
          <w:sz w:val="28"/>
          <w:szCs w:val="28"/>
        </w:rPr>
        <w:t xml:space="preserve"> kampagner om at spise mere grønt?</w:t>
      </w:r>
    </w:p>
    <w:p w14:paraId="3F247CD8" w14:textId="30606BFA" w:rsidR="00363418" w:rsidRDefault="00363418">
      <w:pPr>
        <w:rPr>
          <w:sz w:val="28"/>
          <w:szCs w:val="28"/>
        </w:rPr>
      </w:pPr>
      <w:r>
        <w:rPr>
          <w:sz w:val="28"/>
          <w:szCs w:val="28"/>
        </w:rPr>
        <w:t xml:space="preserve">Madprojektet under </w:t>
      </w:r>
      <w:r w:rsidR="001B5727">
        <w:rPr>
          <w:sz w:val="28"/>
          <w:szCs w:val="28"/>
        </w:rPr>
        <w:t xml:space="preserve">verdensmålspuljen på flere af skolerne, Nærum Gymnasiums planer om at tage temaet op eventuelt sammen med andre initiativer blandt frivillignetværket kan vælge at samtænke deres initiativer i et fælles projekt sammen med dagligvarekæderne som sætter fokus på plantebaserede produkter og opskrifter som kan inspirere til vaneændringer. </w:t>
      </w:r>
    </w:p>
    <w:p w14:paraId="04813430" w14:textId="77777777" w:rsidR="009D5E34" w:rsidRDefault="009D5E34">
      <w:pPr>
        <w:rPr>
          <w:sz w:val="28"/>
          <w:szCs w:val="28"/>
        </w:rPr>
      </w:pPr>
    </w:p>
    <w:p w14:paraId="6FF851FE" w14:textId="4E071E66" w:rsidR="001B5727" w:rsidRPr="0091736E" w:rsidRDefault="001B5727" w:rsidP="0091736E">
      <w:pPr>
        <w:pStyle w:val="Listeafsnit"/>
        <w:numPr>
          <w:ilvl w:val="0"/>
          <w:numId w:val="1"/>
        </w:numPr>
        <w:rPr>
          <w:b/>
          <w:bCs/>
          <w:sz w:val="28"/>
          <w:szCs w:val="28"/>
        </w:rPr>
      </w:pPr>
      <w:r w:rsidRPr="0091736E">
        <w:rPr>
          <w:b/>
          <w:bCs/>
          <w:sz w:val="28"/>
          <w:szCs w:val="28"/>
        </w:rPr>
        <w:t>Udvikle og præsentere et efteruddannelsesprojekt for folkeskolelærerne i kommunen som kan understøtte undervisningen om klimaudfordringerne.</w:t>
      </w:r>
    </w:p>
    <w:p w14:paraId="507E4027" w14:textId="77777777" w:rsidR="001B5727" w:rsidRDefault="001B5727">
      <w:pPr>
        <w:rPr>
          <w:b/>
          <w:bCs/>
          <w:sz w:val="28"/>
          <w:szCs w:val="28"/>
        </w:rPr>
      </w:pPr>
    </w:p>
    <w:p w14:paraId="0424719A" w14:textId="74D666C0" w:rsidR="007E7E1D" w:rsidRPr="007E7E1D" w:rsidRDefault="00B8122A" w:rsidP="007E7E1D">
      <w:pPr>
        <w:pStyle w:val="Listeafsnit"/>
        <w:numPr>
          <w:ilvl w:val="0"/>
          <w:numId w:val="1"/>
        </w:numPr>
        <w:rPr>
          <w:b/>
          <w:bCs/>
          <w:sz w:val="28"/>
          <w:szCs w:val="28"/>
        </w:rPr>
      </w:pPr>
      <w:r>
        <w:rPr>
          <w:b/>
          <w:bCs/>
          <w:sz w:val="28"/>
          <w:szCs w:val="28"/>
        </w:rPr>
        <w:t xml:space="preserve">Kultur og klima - </w:t>
      </w:r>
      <w:proofErr w:type="spellStart"/>
      <w:r w:rsidR="009D5E34">
        <w:rPr>
          <w:b/>
          <w:bCs/>
          <w:sz w:val="28"/>
          <w:szCs w:val="28"/>
        </w:rPr>
        <w:t>Mantziusgårdens</w:t>
      </w:r>
      <w:proofErr w:type="spellEnd"/>
      <w:r w:rsidR="009D5E34">
        <w:rPr>
          <w:b/>
          <w:bCs/>
          <w:sz w:val="28"/>
          <w:szCs w:val="28"/>
        </w:rPr>
        <w:t xml:space="preserve"> nye leder vil i samarbejde med nogle klimavidende personer forsøge at udvikle et koncept, hvor forfattere, Stand Opere, gøglere, komikere, digtere, malere og musikere optræder hvor klimaproblematikken indgår som tema.</w:t>
      </w:r>
    </w:p>
    <w:p w14:paraId="3101F26C" w14:textId="77777777" w:rsidR="00B8122A" w:rsidRPr="008C6F41" w:rsidRDefault="00B8122A" w:rsidP="00B8122A">
      <w:pPr>
        <w:spacing w:line="276" w:lineRule="auto"/>
        <w:jc w:val="both"/>
        <w:rPr>
          <w:szCs w:val="24"/>
        </w:rPr>
      </w:pPr>
      <w:r w:rsidRPr="008C6F41">
        <w:rPr>
          <w:szCs w:val="24"/>
        </w:rPr>
        <w:t>Alle landets 98 kommuner har udarbejdet klimaplaner, der nu er under implementering. </w:t>
      </w:r>
      <w:r>
        <w:rPr>
          <w:szCs w:val="24"/>
        </w:rPr>
        <w:br/>
      </w:r>
      <w:r w:rsidRPr="008C6F41">
        <w:rPr>
          <w:szCs w:val="24"/>
        </w:rPr>
        <w:t>Planerne har ofte fokus på teknisk-strukturelle indsatser indenfor eksempelvis energi, bygninger, landbrug og transport. Det er vigtige og nødvendige indsatsområder. Men den grønne omstilling kræver en dybere mental omstillingsproces og en omkalfatring af den måde vi tænker samfund på.</w:t>
      </w:r>
      <w:r>
        <w:rPr>
          <w:szCs w:val="24"/>
        </w:rPr>
        <w:br/>
      </w:r>
      <w:r w:rsidRPr="008C6F41">
        <w:rPr>
          <w:szCs w:val="24"/>
        </w:rPr>
        <w:t>Og her spiller kulturen en helt central rolle.  Den kan nå og mobilisere målgrupper for hvem tekniske klimatiltag, tal og grafer alene kan forekomme abstrakte og fjerne i den almindelige hverdag.</w:t>
      </w:r>
      <w:r w:rsidRPr="008C6F41">
        <w:rPr>
          <w:szCs w:val="24"/>
        </w:rPr>
        <w:br/>
      </w:r>
    </w:p>
    <w:p w14:paraId="32BDD88D" w14:textId="77777777" w:rsidR="00B8122A" w:rsidRPr="008C6F41" w:rsidRDefault="00B8122A" w:rsidP="00B8122A">
      <w:pPr>
        <w:spacing w:line="276" w:lineRule="auto"/>
        <w:jc w:val="both"/>
        <w:rPr>
          <w:szCs w:val="24"/>
        </w:rPr>
      </w:pPr>
      <w:r w:rsidRPr="008C6F41">
        <w:rPr>
          <w:szCs w:val="24"/>
        </w:rPr>
        <w:t xml:space="preserve">Formålet med dette projekt er at give sit beskedne bidrag til den mentale omstilling - at aktivere nye borgergrupper i den grønne forandring. Dette tænkes ved både at lade dem møde klimafageksperter, men </w:t>
      </w:r>
      <w:r w:rsidRPr="008C6F41">
        <w:rPr>
          <w:szCs w:val="24"/>
        </w:rPr>
        <w:lastRenderedPageBreak/>
        <w:t xml:space="preserve">vigtigere, også kunstnere, der ser klimaudfordringen og veje frem gennem helt andre briller. Ideen er eksempelvis at kombinere vandeksperten fra et ingeniørfirma med forfatteren/kunstneren, der har arbejdet med vand som materialitet eller i et kulturelt-historisk perspektiv, at lade forbrugerøkonomen møde den utopiske forfatter, der har fortolket det rige immaterielle liv.  Det kan også være designere, der præsenterer deres bæredygtige tøjkollektion, brugskunst og meget andet sat sammen med eksperten, der kender til tøjets klima/miljøpåvirkning. Essensen er, at det overordnede tema er den grønne omstilling (Vi kan definere en mere konkret rød tråd).  </w:t>
      </w:r>
    </w:p>
    <w:p w14:paraId="263C0080" w14:textId="6AF3B303" w:rsidR="00B8122A" w:rsidRPr="008C6F41" w:rsidRDefault="00B8122A" w:rsidP="00B8122A">
      <w:pPr>
        <w:spacing w:line="276" w:lineRule="auto"/>
        <w:jc w:val="both"/>
        <w:rPr>
          <w:szCs w:val="24"/>
        </w:rPr>
      </w:pPr>
      <w:r w:rsidRPr="008C6F41">
        <w:rPr>
          <w:szCs w:val="24"/>
        </w:rPr>
        <w:t>Vi tænker 3-4 arrangementer hen over 2025. Centralt for projektet er, at de inviterede oplægsholdere/kunstnere skal aktivere de fremmødte – fx at skrive små tekster selv, arbejde med stof, debattere i grupper, men helt sikkert engagere dem til at reflektere over måden, vi skaber verdensbilleder og har indrettet vores samfund på.</w:t>
      </w:r>
      <w:bookmarkStart w:id="0" w:name="_GoBack"/>
      <w:bookmarkEnd w:id="0"/>
    </w:p>
    <w:p w14:paraId="66EBEB31" w14:textId="77777777" w:rsidR="00B8122A" w:rsidRPr="008C6F41" w:rsidRDefault="00B8122A" w:rsidP="00B8122A">
      <w:pPr>
        <w:pStyle w:val="Listeafsnit"/>
        <w:numPr>
          <w:ilvl w:val="0"/>
          <w:numId w:val="6"/>
        </w:numPr>
        <w:spacing w:line="276" w:lineRule="auto"/>
        <w:jc w:val="both"/>
        <w:rPr>
          <w:szCs w:val="24"/>
        </w:rPr>
      </w:pPr>
      <w:r w:rsidRPr="008C6F41">
        <w:rPr>
          <w:szCs w:val="24"/>
        </w:rPr>
        <w:t>Eksempel på arrangement skrevet af Rakel Haslund-Gjerrild:</w:t>
      </w:r>
    </w:p>
    <w:p w14:paraId="03AA9597" w14:textId="77777777" w:rsidR="00B8122A" w:rsidRPr="008C6F41" w:rsidRDefault="00B8122A" w:rsidP="00B8122A">
      <w:pPr>
        <w:spacing w:line="276" w:lineRule="auto"/>
        <w:ind w:left="360"/>
        <w:jc w:val="both"/>
        <w:rPr>
          <w:szCs w:val="24"/>
        </w:rPr>
      </w:pPr>
      <w:r w:rsidRPr="008C6F41">
        <w:rPr>
          <w:szCs w:val="24"/>
        </w:rPr>
        <w:t>Giv naturen en stemme. Arrangementet med Rakel Haslund-Gjerrild består af tre dele, et oplæg, en guidet skriveøvelse samt en opfølgende samtale med de deltagende. </w:t>
      </w:r>
    </w:p>
    <w:p w14:paraId="42396CB7" w14:textId="77777777" w:rsidR="00B8122A" w:rsidRPr="008C6F41" w:rsidRDefault="00B8122A" w:rsidP="00B8122A">
      <w:pPr>
        <w:spacing w:line="276" w:lineRule="auto"/>
        <w:ind w:left="360"/>
        <w:jc w:val="both"/>
        <w:rPr>
          <w:szCs w:val="24"/>
        </w:rPr>
      </w:pPr>
      <w:r w:rsidRPr="008C6F41">
        <w:rPr>
          <w:szCs w:val="24"/>
        </w:rPr>
        <w:t>Første del er et kort oplæg om dystopi og håb - med udgangspunkt i den post-apokalyptiske roman</w:t>
      </w:r>
      <w:r w:rsidRPr="008C6F41">
        <w:rPr>
          <w:i/>
          <w:iCs/>
          <w:szCs w:val="24"/>
        </w:rPr>
        <w:t xml:space="preserve"> Alle himlens fugle</w:t>
      </w:r>
      <w:r w:rsidRPr="008C6F41">
        <w:rPr>
          <w:szCs w:val="24"/>
        </w:rPr>
        <w:t xml:space="preserve"> - en eksperimenterende forvandlingsroman, hvor arten mennesket atter nærmer sig et liv og en stemme, der minder om andre dyrearters. </w:t>
      </w:r>
    </w:p>
    <w:p w14:paraId="300C7E6D" w14:textId="77777777" w:rsidR="00B8122A" w:rsidRPr="008C6F41" w:rsidRDefault="00B8122A" w:rsidP="00B8122A">
      <w:pPr>
        <w:spacing w:line="276" w:lineRule="auto"/>
        <w:ind w:left="360"/>
        <w:jc w:val="both"/>
        <w:rPr>
          <w:szCs w:val="24"/>
        </w:rPr>
      </w:pPr>
      <w:r w:rsidRPr="008C6F41">
        <w:rPr>
          <w:szCs w:val="24"/>
        </w:rPr>
        <w:t>Anden del er en guidet skriveøvelse, hvor deltagerne i arrangementet får mulighed for at prøve at tage et andet perspektiv på sig end det menneskelig.</w:t>
      </w:r>
    </w:p>
    <w:p w14:paraId="22518CA9" w14:textId="11D31C5C" w:rsidR="00B8122A" w:rsidRPr="008C6F41" w:rsidRDefault="00B8122A" w:rsidP="00B8122A">
      <w:pPr>
        <w:spacing w:line="276" w:lineRule="auto"/>
        <w:ind w:left="360"/>
        <w:jc w:val="both"/>
        <w:rPr>
          <w:szCs w:val="24"/>
        </w:rPr>
      </w:pPr>
      <w:r w:rsidRPr="008C6F41">
        <w:rPr>
          <w:szCs w:val="24"/>
        </w:rPr>
        <w:t>Som afslutning vil der være en fælles afsluttende samtalen, først i mindre grupper og så i plenum om de tanker som skriveøvelsen satte i gang.</w:t>
      </w:r>
    </w:p>
    <w:p w14:paraId="2D8DF275" w14:textId="77777777" w:rsidR="00B8122A" w:rsidRPr="008C6F41" w:rsidRDefault="00B8122A" w:rsidP="00B8122A">
      <w:pPr>
        <w:pStyle w:val="Listeafsnit"/>
        <w:numPr>
          <w:ilvl w:val="0"/>
          <w:numId w:val="5"/>
        </w:numPr>
        <w:spacing w:line="276" w:lineRule="auto"/>
        <w:rPr>
          <w:szCs w:val="24"/>
        </w:rPr>
      </w:pPr>
      <w:r w:rsidRPr="008C6F41">
        <w:rPr>
          <w:szCs w:val="24"/>
        </w:rPr>
        <w:t>Administration:  Flere fonde forudsætter, at man er en forening. Derfor foreslår jeg (Mikael), at vi kører det gennem Klimaakademiet, hvor jeg arbejder. Der vil ikke blive taget overhead eller skabt profit. Penge indsamlet vil gå ubeskåret til lønninger til oplægsholdere og evt. ordstyrere. Det er også nemmere at udbetale løn gennem en forening.</w:t>
      </w:r>
    </w:p>
    <w:p w14:paraId="399B3BC9" w14:textId="77777777" w:rsidR="00B8122A" w:rsidRPr="008C6F41" w:rsidRDefault="00B8122A" w:rsidP="00B8122A">
      <w:pPr>
        <w:spacing w:line="276" w:lineRule="auto"/>
        <w:ind w:left="360"/>
        <w:rPr>
          <w:szCs w:val="24"/>
        </w:rPr>
      </w:pPr>
      <w:r w:rsidRPr="008C6F41">
        <w:rPr>
          <w:szCs w:val="24"/>
        </w:rPr>
        <w:t>Fonde: Jeg har undersøgt en række fonde og de mest oplagte er:</w:t>
      </w:r>
    </w:p>
    <w:p w14:paraId="13515A3A" w14:textId="77777777" w:rsidR="00B8122A" w:rsidRPr="008C6F41" w:rsidRDefault="00B8122A" w:rsidP="00B8122A">
      <w:pPr>
        <w:spacing w:line="276" w:lineRule="auto"/>
        <w:ind w:left="360"/>
        <w:rPr>
          <w:szCs w:val="24"/>
        </w:rPr>
      </w:pPr>
      <w:r w:rsidRPr="008C6F41">
        <w:rPr>
          <w:b/>
          <w:bCs/>
          <w:szCs w:val="24"/>
        </w:rPr>
        <w:t>Rudersdal</w:t>
      </w:r>
      <w:r w:rsidRPr="008C6F41">
        <w:rPr>
          <w:szCs w:val="24"/>
        </w:rPr>
        <w:t>:</w:t>
      </w:r>
    </w:p>
    <w:p w14:paraId="32FF0C22" w14:textId="77777777" w:rsidR="00B8122A" w:rsidRPr="008C6F41" w:rsidRDefault="00B8122A" w:rsidP="00B8122A">
      <w:pPr>
        <w:pStyle w:val="Listeafsnit"/>
        <w:numPr>
          <w:ilvl w:val="0"/>
          <w:numId w:val="3"/>
        </w:numPr>
        <w:spacing w:line="276" w:lineRule="auto"/>
        <w:ind w:left="1440"/>
        <w:rPr>
          <w:szCs w:val="24"/>
        </w:rPr>
      </w:pPr>
      <w:r w:rsidRPr="008C6F41">
        <w:rPr>
          <w:szCs w:val="24"/>
        </w:rPr>
        <w:t>Kulturpuljen</w:t>
      </w:r>
    </w:p>
    <w:p w14:paraId="7D813C81" w14:textId="77777777" w:rsidR="00B8122A" w:rsidRPr="008C6F41" w:rsidRDefault="00B8122A" w:rsidP="00B8122A">
      <w:pPr>
        <w:pStyle w:val="Listeafsnit"/>
        <w:numPr>
          <w:ilvl w:val="0"/>
          <w:numId w:val="3"/>
        </w:numPr>
        <w:spacing w:line="276" w:lineRule="auto"/>
        <w:ind w:left="1440"/>
        <w:rPr>
          <w:szCs w:val="24"/>
        </w:rPr>
      </w:pPr>
      <w:r w:rsidRPr="008C6F41">
        <w:rPr>
          <w:szCs w:val="24"/>
        </w:rPr>
        <w:t>Verdensmålspuljen</w:t>
      </w:r>
    </w:p>
    <w:p w14:paraId="61FB1DFE" w14:textId="77777777" w:rsidR="00B8122A" w:rsidRPr="008C6F41" w:rsidRDefault="00B8122A" w:rsidP="00B8122A">
      <w:pPr>
        <w:spacing w:line="276" w:lineRule="auto"/>
        <w:ind w:left="360"/>
        <w:rPr>
          <w:szCs w:val="24"/>
        </w:rPr>
      </w:pPr>
      <w:r w:rsidRPr="008C6F41">
        <w:rPr>
          <w:b/>
          <w:bCs/>
          <w:szCs w:val="24"/>
        </w:rPr>
        <w:t>Kunstfonden</w:t>
      </w:r>
      <w:r w:rsidRPr="008C6F41">
        <w:rPr>
          <w:szCs w:val="24"/>
        </w:rPr>
        <w:t>:</w:t>
      </w:r>
    </w:p>
    <w:p w14:paraId="79BA804C" w14:textId="77777777" w:rsidR="00B8122A" w:rsidRPr="008C6F41" w:rsidRDefault="00B8122A" w:rsidP="00B8122A">
      <w:pPr>
        <w:pStyle w:val="Listeafsnit"/>
        <w:numPr>
          <w:ilvl w:val="0"/>
          <w:numId w:val="4"/>
        </w:numPr>
        <w:spacing w:line="276" w:lineRule="auto"/>
        <w:ind w:left="1440"/>
        <w:rPr>
          <w:szCs w:val="24"/>
        </w:rPr>
      </w:pPr>
      <w:r w:rsidRPr="008C6F41">
        <w:rPr>
          <w:szCs w:val="24"/>
        </w:rPr>
        <w:t>Større Litterære Arrangementer og Formidling</w:t>
      </w:r>
    </w:p>
    <w:p w14:paraId="02D8DA73" w14:textId="77777777" w:rsidR="00B8122A" w:rsidRPr="008C6F41" w:rsidRDefault="00B8122A" w:rsidP="00B8122A">
      <w:pPr>
        <w:pStyle w:val="Listeafsnit"/>
        <w:numPr>
          <w:ilvl w:val="0"/>
          <w:numId w:val="4"/>
        </w:numPr>
        <w:spacing w:line="276" w:lineRule="auto"/>
        <w:ind w:left="1440"/>
        <w:rPr>
          <w:szCs w:val="24"/>
        </w:rPr>
      </w:pPr>
      <w:r w:rsidRPr="008C6F41">
        <w:rPr>
          <w:szCs w:val="24"/>
        </w:rPr>
        <w:t>Forfattermøder for Voksne</w:t>
      </w:r>
    </w:p>
    <w:p w14:paraId="63589DB8" w14:textId="37CEE878" w:rsidR="001B5727" w:rsidRPr="001B5727" w:rsidRDefault="001B5727">
      <w:pPr>
        <w:rPr>
          <w:b/>
          <w:bCs/>
          <w:sz w:val="28"/>
          <w:szCs w:val="28"/>
        </w:rPr>
      </w:pPr>
      <w:r>
        <w:rPr>
          <w:b/>
          <w:bCs/>
          <w:sz w:val="28"/>
          <w:szCs w:val="28"/>
        </w:rPr>
        <w:t xml:space="preserve"> </w:t>
      </w:r>
    </w:p>
    <w:sectPr w:rsidR="001B5727" w:rsidRPr="001B57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974"/>
    <w:multiLevelType w:val="hybridMultilevel"/>
    <w:tmpl w:val="1C08DD7C"/>
    <w:lvl w:ilvl="0" w:tplc="84646B6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8E312B6"/>
    <w:multiLevelType w:val="multilevel"/>
    <w:tmpl w:val="FE3CD1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B14F61"/>
    <w:multiLevelType w:val="hybridMultilevel"/>
    <w:tmpl w:val="EB1AD5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8C07C89"/>
    <w:multiLevelType w:val="hybridMultilevel"/>
    <w:tmpl w:val="D74053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C7B2078"/>
    <w:multiLevelType w:val="hybridMultilevel"/>
    <w:tmpl w:val="F7D4337A"/>
    <w:lvl w:ilvl="0" w:tplc="4C0827D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7AE19FB"/>
    <w:multiLevelType w:val="hybridMultilevel"/>
    <w:tmpl w:val="20500E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14"/>
    <w:rsid w:val="001A0714"/>
    <w:rsid w:val="001B5727"/>
    <w:rsid w:val="002B7721"/>
    <w:rsid w:val="002F1C54"/>
    <w:rsid w:val="00347BC6"/>
    <w:rsid w:val="00363418"/>
    <w:rsid w:val="005D4FF6"/>
    <w:rsid w:val="00643415"/>
    <w:rsid w:val="00696F55"/>
    <w:rsid w:val="00701F3E"/>
    <w:rsid w:val="007E7E1D"/>
    <w:rsid w:val="0091736E"/>
    <w:rsid w:val="0094607F"/>
    <w:rsid w:val="0096784F"/>
    <w:rsid w:val="009D5E34"/>
    <w:rsid w:val="00AA4843"/>
    <w:rsid w:val="00B8122A"/>
    <w:rsid w:val="00DB1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E1FA"/>
  <w15:chartTrackingRefBased/>
  <w15:docId w15:val="{B94526DF-1248-46AF-BD45-A4FBF585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A0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1A0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1A071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A071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A071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1A071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A071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A071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A071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071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1A071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1A071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A071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A071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A071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A071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A071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A0714"/>
    <w:rPr>
      <w:rFonts w:eastAsiaTheme="majorEastAsia" w:cstheme="majorBidi"/>
      <w:color w:val="272727" w:themeColor="text1" w:themeTint="D8"/>
    </w:rPr>
  </w:style>
  <w:style w:type="paragraph" w:styleId="Titel">
    <w:name w:val="Title"/>
    <w:basedOn w:val="Normal"/>
    <w:next w:val="Normal"/>
    <w:link w:val="TitelTegn"/>
    <w:uiPriority w:val="10"/>
    <w:qFormat/>
    <w:rsid w:val="001A0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A071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A071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A071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A071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A0714"/>
    <w:rPr>
      <w:i/>
      <w:iCs/>
      <w:color w:val="404040" w:themeColor="text1" w:themeTint="BF"/>
    </w:rPr>
  </w:style>
  <w:style w:type="paragraph" w:styleId="Listeafsnit">
    <w:name w:val="List Paragraph"/>
    <w:basedOn w:val="Normal"/>
    <w:uiPriority w:val="34"/>
    <w:qFormat/>
    <w:rsid w:val="001A0714"/>
    <w:pPr>
      <w:ind w:left="720"/>
      <w:contextualSpacing/>
    </w:pPr>
  </w:style>
  <w:style w:type="character" w:styleId="Kraftigfremhvning">
    <w:name w:val="Intense Emphasis"/>
    <w:basedOn w:val="Standardskrifttypeiafsnit"/>
    <w:uiPriority w:val="21"/>
    <w:qFormat/>
    <w:rsid w:val="001A0714"/>
    <w:rPr>
      <w:i/>
      <w:iCs/>
      <w:color w:val="2F5496" w:themeColor="accent1" w:themeShade="BF"/>
    </w:rPr>
  </w:style>
  <w:style w:type="paragraph" w:styleId="Strktcitat">
    <w:name w:val="Intense Quote"/>
    <w:basedOn w:val="Normal"/>
    <w:next w:val="Normal"/>
    <w:link w:val="StrktcitatTegn"/>
    <w:uiPriority w:val="30"/>
    <w:qFormat/>
    <w:rsid w:val="001A0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1A0714"/>
    <w:rPr>
      <w:i/>
      <w:iCs/>
      <w:color w:val="2F5496" w:themeColor="accent1" w:themeShade="BF"/>
    </w:rPr>
  </w:style>
  <w:style w:type="character" w:styleId="Kraftighenvisning">
    <w:name w:val="Intense Reference"/>
    <w:basedOn w:val="Standardskrifttypeiafsnit"/>
    <w:uiPriority w:val="32"/>
    <w:qFormat/>
    <w:rsid w:val="001A0714"/>
    <w:rPr>
      <w:b/>
      <w:bCs/>
      <w:smallCaps/>
      <w:color w:val="2F5496" w:themeColor="accent1" w:themeShade="BF"/>
      <w:spacing w:val="5"/>
    </w:rPr>
  </w:style>
  <w:style w:type="character" w:styleId="Hyperlink">
    <w:name w:val="Hyperlink"/>
    <w:basedOn w:val="Standardskrifttypeiafsnit"/>
    <w:uiPriority w:val="99"/>
    <w:unhideWhenUsed/>
    <w:rsid w:val="001A0714"/>
    <w:rPr>
      <w:color w:val="0563C1" w:themeColor="hyperlink"/>
      <w:u w:val="single"/>
    </w:rPr>
  </w:style>
  <w:style w:type="character" w:styleId="Ulstomtale">
    <w:name w:val="Unresolved Mention"/>
    <w:basedOn w:val="Standardskrifttypeiafsnit"/>
    <w:uiPriority w:val="99"/>
    <w:semiHidden/>
    <w:unhideWhenUsed/>
    <w:rsid w:val="001A0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ers@westenhol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5610</Characters>
  <Application>Microsoft Office Word</Application>
  <DocSecurity>0</DocSecurity>
  <Lines>112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Westenholz</dc:creator>
  <cp:keywords/>
  <dc:description/>
  <cp:lastModifiedBy>Stinne Maria Thomassen</cp:lastModifiedBy>
  <cp:revision>3</cp:revision>
  <dcterms:created xsi:type="dcterms:W3CDTF">2025-02-12T17:05:00Z</dcterms:created>
  <dcterms:modified xsi:type="dcterms:W3CDTF">2025-02-12T17:09:00Z</dcterms:modified>
</cp:coreProperties>
</file>